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0" w:type="dxa"/>
        <w:tblCellSpacing w:w="0" w:type="dxa"/>
        <w:tblCellMar>
          <w:left w:w="0" w:type="dxa"/>
          <w:right w:w="0" w:type="dxa"/>
        </w:tblCellMar>
        <w:tblLook w:val="04A0"/>
      </w:tblPr>
      <w:tblGrid>
        <w:gridCol w:w="1214"/>
        <w:gridCol w:w="2430"/>
        <w:gridCol w:w="1215"/>
        <w:gridCol w:w="2552"/>
        <w:gridCol w:w="1215"/>
        <w:gridCol w:w="3524"/>
      </w:tblGrid>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gridSpan w:val="5"/>
            <w:hideMark/>
          </w:tcPr>
          <w:p w:rsidR="00673717" w:rsidRPr="00673717" w:rsidRDefault="00673717" w:rsidP="00673717">
            <w:pPr>
              <w:adjustRightInd/>
              <w:snapToGrid/>
              <w:spacing w:after="0" w:line="540" w:lineRule="exact"/>
              <w:rPr>
                <w:rFonts w:ascii="宋体" w:eastAsia="宋体" w:hAnsi="宋体" w:cs="宋体"/>
                <w:b/>
                <w:bCs/>
                <w:sz w:val="21"/>
                <w:szCs w:val="21"/>
              </w:rPr>
            </w:pPr>
          </w:p>
        </w:tc>
      </w:tr>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1000" w:type="pct"/>
            <w:hideMark/>
          </w:tcPr>
          <w:p w:rsidR="00673717" w:rsidRPr="00673717" w:rsidRDefault="00673717" w:rsidP="00673717">
            <w:pPr>
              <w:adjustRightInd/>
              <w:snapToGrid/>
              <w:spacing w:after="0" w:line="540" w:lineRule="exact"/>
              <w:rPr>
                <w:rFonts w:ascii="宋体" w:eastAsia="宋体" w:hAnsi="宋体" w:cs="宋体"/>
                <w:sz w:val="21"/>
                <w:szCs w:val="21"/>
              </w:rPr>
            </w:pPr>
          </w:p>
        </w:tc>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1050" w:type="pct"/>
            <w:hideMark/>
          </w:tcPr>
          <w:p w:rsidR="00673717" w:rsidRPr="00673717" w:rsidRDefault="00673717" w:rsidP="00673717">
            <w:pPr>
              <w:adjustRightInd/>
              <w:snapToGrid/>
              <w:spacing w:after="0" w:line="540" w:lineRule="exact"/>
              <w:rPr>
                <w:rFonts w:ascii="宋体" w:eastAsia="宋体" w:hAnsi="宋体" w:cs="宋体"/>
                <w:sz w:val="21"/>
                <w:szCs w:val="21"/>
              </w:rPr>
            </w:pPr>
          </w:p>
        </w:tc>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1700" w:type="pct"/>
            <w:hideMark/>
          </w:tcPr>
          <w:p w:rsidR="00673717" w:rsidRPr="00673717" w:rsidRDefault="00673717" w:rsidP="00673717">
            <w:pPr>
              <w:adjustRightInd/>
              <w:snapToGrid/>
              <w:spacing w:after="0" w:line="540" w:lineRule="exact"/>
              <w:rPr>
                <w:rFonts w:ascii="宋体" w:eastAsia="宋体" w:hAnsi="宋体" w:cs="宋体"/>
                <w:sz w:val="21"/>
                <w:szCs w:val="21"/>
              </w:rPr>
            </w:pPr>
          </w:p>
        </w:tc>
      </w:tr>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hideMark/>
          </w:tcPr>
          <w:p w:rsidR="00673717" w:rsidRPr="00673717" w:rsidRDefault="00673717" w:rsidP="00673717">
            <w:pPr>
              <w:adjustRightInd/>
              <w:snapToGrid/>
              <w:spacing w:after="0" w:line="540" w:lineRule="exact"/>
              <w:rPr>
                <w:rFonts w:ascii="宋体" w:eastAsia="宋体" w:hAnsi="宋体" w:cs="宋体"/>
                <w:sz w:val="21"/>
                <w:szCs w:val="21"/>
              </w:rPr>
            </w:pPr>
          </w:p>
        </w:tc>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gridSpan w:val="3"/>
            <w:hideMark/>
          </w:tcPr>
          <w:p w:rsidR="00673717" w:rsidRPr="00673717" w:rsidRDefault="00673717" w:rsidP="00673717">
            <w:pPr>
              <w:adjustRightInd/>
              <w:snapToGrid/>
              <w:spacing w:after="0" w:line="540" w:lineRule="exact"/>
              <w:rPr>
                <w:rFonts w:ascii="宋体" w:eastAsia="宋体" w:hAnsi="宋体" w:cs="宋体"/>
                <w:sz w:val="21"/>
                <w:szCs w:val="21"/>
              </w:rPr>
            </w:pPr>
          </w:p>
        </w:tc>
      </w:tr>
      <w:tr w:rsidR="00673717" w:rsidRPr="00673717" w:rsidTr="00673717">
        <w:trPr>
          <w:tblCellSpacing w:w="0" w:type="dxa"/>
        </w:trPr>
        <w:tc>
          <w:tcPr>
            <w:tcW w:w="500" w:type="pct"/>
            <w:hideMark/>
          </w:tcPr>
          <w:p w:rsidR="00673717" w:rsidRPr="00673717" w:rsidRDefault="00673717" w:rsidP="00673717">
            <w:pPr>
              <w:adjustRightInd/>
              <w:snapToGrid/>
              <w:spacing w:after="0" w:line="540" w:lineRule="exact"/>
              <w:rPr>
                <w:rFonts w:ascii="宋体" w:eastAsia="宋体" w:hAnsi="宋体" w:cs="宋体"/>
                <w:b/>
                <w:bCs/>
                <w:sz w:val="21"/>
                <w:szCs w:val="21"/>
              </w:rPr>
            </w:pPr>
          </w:p>
        </w:tc>
        <w:tc>
          <w:tcPr>
            <w:tcW w:w="0" w:type="auto"/>
            <w:gridSpan w:val="5"/>
            <w:hideMark/>
          </w:tcPr>
          <w:p w:rsidR="00673717" w:rsidRPr="00673717" w:rsidRDefault="00673717" w:rsidP="00673717">
            <w:pPr>
              <w:adjustRightInd/>
              <w:snapToGrid/>
              <w:spacing w:after="0" w:line="540" w:lineRule="exact"/>
              <w:rPr>
                <w:rFonts w:ascii="宋体" w:eastAsia="宋体" w:hAnsi="宋体" w:cs="宋体"/>
                <w:sz w:val="21"/>
                <w:szCs w:val="21"/>
              </w:rPr>
            </w:pPr>
          </w:p>
        </w:tc>
      </w:tr>
    </w:tbl>
    <w:p w:rsidR="00673717" w:rsidRPr="00673717" w:rsidRDefault="00673717" w:rsidP="00673717">
      <w:pPr>
        <w:shd w:val="clear" w:color="auto" w:fill="FFFFFF"/>
        <w:adjustRightInd/>
        <w:snapToGrid/>
        <w:spacing w:after="0" w:line="540" w:lineRule="exact"/>
        <w:rPr>
          <w:rFonts w:ascii="宋体" w:eastAsia="宋体" w:hAnsi="宋体" w:cs="宋体"/>
          <w:vanish/>
          <w:sz w:val="24"/>
          <w:szCs w:val="24"/>
        </w:rPr>
      </w:pPr>
      <w:r w:rsidRPr="00673717">
        <w:rPr>
          <w:rFonts w:ascii="宋体" w:eastAsia="宋体" w:hAnsi="宋体" w:cs="宋体"/>
          <w:vanish/>
          <w:sz w:val="24"/>
          <w:szCs w:val="24"/>
        </w:rPr>
        <w:t>信息公开_厅文</w:t>
      </w:r>
    </w:p>
    <w:p w:rsidR="00673717" w:rsidRPr="00673717" w:rsidRDefault="00673717" w:rsidP="00673717">
      <w:pPr>
        <w:shd w:val="clear" w:color="auto" w:fill="FFFFFF"/>
        <w:adjustRightInd/>
        <w:snapToGrid/>
        <w:spacing w:before="100" w:beforeAutospacing="1" w:after="100" w:afterAutospacing="1" w:line="540" w:lineRule="exact"/>
        <w:jc w:val="center"/>
        <w:rPr>
          <w:rFonts w:ascii="微软雅黑" w:hAnsi="微软雅黑" w:cs="宋体"/>
          <w:b/>
          <w:bCs/>
          <w:sz w:val="24"/>
          <w:szCs w:val="24"/>
        </w:rPr>
      </w:pPr>
      <w:r w:rsidRPr="00673717">
        <w:rPr>
          <w:rFonts w:ascii="微软雅黑" w:hAnsi="微软雅黑" w:cs="宋体" w:hint="eastAsia"/>
          <w:b/>
          <w:bCs/>
          <w:sz w:val="24"/>
          <w:szCs w:val="24"/>
        </w:rPr>
        <w:t>教高厅〔2017〕4号</w:t>
      </w:r>
    </w:p>
    <w:p w:rsidR="00673717" w:rsidRPr="00673717" w:rsidRDefault="00673717" w:rsidP="00673717">
      <w:pPr>
        <w:shd w:val="clear" w:color="auto" w:fill="FFFFFF"/>
        <w:adjustRightInd/>
        <w:snapToGrid/>
        <w:spacing w:before="100" w:beforeAutospacing="1" w:after="100" w:afterAutospacing="1" w:line="540" w:lineRule="exact"/>
        <w:jc w:val="center"/>
        <w:outlineLvl w:val="1"/>
        <w:rPr>
          <w:rFonts w:ascii="微软雅黑" w:hAnsi="微软雅黑" w:cs="宋体"/>
          <w:b/>
          <w:bCs/>
          <w:kern w:val="36"/>
          <w:sz w:val="30"/>
          <w:szCs w:val="30"/>
        </w:rPr>
      </w:pPr>
      <w:r w:rsidRPr="00673717">
        <w:rPr>
          <w:rFonts w:ascii="微软雅黑" w:hAnsi="微软雅黑" w:cs="宋体" w:hint="eastAsia"/>
          <w:b/>
          <w:bCs/>
          <w:kern w:val="36"/>
          <w:sz w:val="30"/>
          <w:szCs w:val="30"/>
        </w:rPr>
        <w:t>教育部办公厅关于2017-2020年开展示范性</w:t>
      </w:r>
      <w:r w:rsidRPr="00673717">
        <w:rPr>
          <w:rFonts w:ascii="微软雅黑" w:hAnsi="微软雅黑" w:cs="宋体" w:hint="eastAsia"/>
          <w:b/>
          <w:bCs/>
          <w:kern w:val="36"/>
          <w:sz w:val="30"/>
          <w:szCs w:val="30"/>
        </w:rPr>
        <w:br/>
        <w:t>虚拟仿真实验教学项目建设的通知</w:t>
      </w:r>
    </w:p>
    <w:p w:rsidR="00673717" w:rsidRPr="00673717" w:rsidRDefault="00673717" w:rsidP="00673717">
      <w:pPr>
        <w:shd w:val="clear" w:color="auto" w:fill="FFFFFF"/>
        <w:adjustRightInd/>
        <w:snapToGrid/>
        <w:spacing w:before="100" w:beforeAutospacing="1" w:after="100" w:afterAutospacing="1" w:line="540" w:lineRule="exact"/>
        <w:jc w:val="right"/>
        <w:rPr>
          <w:rFonts w:ascii="微软雅黑" w:hAnsi="微软雅黑" w:cs="宋体"/>
          <w:b/>
          <w:bCs/>
          <w:vanish/>
          <w:sz w:val="24"/>
          <w:szCs w:val="24"/>
        </w:rPr>
      </w:pPr>
      <w:r w:rsidRPr="00673717">
        <w:rPr>
          <w:rFonts w:ascii="微软雅黑" w:hAnsi="微软雅黑" w:cs="宋体" w:hint="eastAsia"/>
          <w:b/>
          <w:bCs/>
          <w:vanish/>
          <w:sz w:val="24"/>
          <w:szCs w:val="24"/>
        </w:rPr>
        <w:t>教高厅〔2017〕4号</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各省、自治区、直辖市教育厅（教委），新疆生产建设兵团教育局，有关部门（单位）教育司（局），部属各高等学校：</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为贯彻落实习近平总书记关于强化实践育人工作的重要指示精神和全国高校思想政治工作会议精神，根据《教育信息化十年发展规划（2011-2020年）》和《2017年教育信息化工作要点》等相关要求，深入推进信息技术与高等教育实验教学的深度融合，不断加强高等教育实验教学优质资源建设与应用，着力提高高等教育实验教学质量和实践育人水平，经研究，决定在高校实验教学改革和实验教学项目信息化建设的基础上，于2017-2020年在普通本科高等学校开展示范性虚拟仿真实验教学项目建设工作。现就相关工作通知如下：</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一、建设目标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紧紧围绕立德树人根本任务，适应经济社会快速发展对人才培养的新要求、现代大学生成长的新特点、信息化时代教育教学的新规律，以提高学生实践能力和创新精神为核心，以现代信息技术为依托，以相关专业类急需的实验教学信息化内容为指向，以完整的实验教学项目为基础，建设示范性虚拟仿真实验教学项目，推动高校积极探索线上线下教学相结合的个性化、智能化、泛在化实验教学新模式，形成专业布局合理、教学效果优良、开放共享有效的高等教育信息化实验教学项目示范新体系，支撑高等教育教学质量全面提高。</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二、建设内容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实验教学项目作为高校开展实验教学的基本单元，其建设水平直接决定实验教学的整体质量。开展示范性虚拟仿真实验教学项目建设，是推进现代信息技术与实验教学项目深度融合、拓展实验教学内容广度和深度、延伸实验教学时间和空间、提升实验教学质量和水平的重要举措。示范性虚拟仿真实验教学项目应具有：</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（一）以学生为中心的实验教学理念</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坚持一切从学生的需求出发，注重对学生社会责任感、创新精神、实践能力的综合培养，注重知识传授、能力培养、素质提高的协同实施，调动学生参与实验教学的积极性和主动性，激发学生的学习兴趣和潜能，增强学生创新创造能力。</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（二）准确适宜的实验教学内容</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坚持问题导向，重点解决真实实验项目条件不具备或实际运行困难，涉及高危或极端环境，高成本、高消耗、不可逆操作、大型综合训练等问题。坚持需求导向，紧密结合经济社会发展对高校人才培养的需求，紧密结合专业特色和行业产业发展最新成果，紧密结合学校定位和人才培养特点，采用现代信息技术，研发原理准确、内容紧凑、时长合理、难度适宜的虚拟仿真实验教学项目。</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（三）创新多样的教学方式方法</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始终关注信息化时代背景下学生需求，重点实行基于问题、案例的互动式、研讨式教学，倡导自主式、合作式、探究式学习。创新实验教学项目资源呈现方式，注重通过文字、图片、视频等各种媒介促进教学准备、线上讨论、线下</w:t>
      </w:r>
      <w:r w:rsidRPr="00673717">
        <w:rPr>
          <w:rFonts w:ascii="微软雅黑" w:hAnsi="微软雅黑" w:cs="宋体" w:hint="eastAsia"/>
          <w:sz w:val="24"/>
          <w:szCs w:val="24"/>
        </w:rPr>
        <w:lastRenderedPageBreak/>
        <w:t>交流。加强网络化条件下实验教学规律研究，探索提升实验教学效果的方式方法。</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（四）先进可靠的实验研发技术</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虚拟仿真实验教学项目的研发要以完成教学要求和内容为目标，综合应用多媒体、大数据、三维建模、人工智能、人机交互、传感器、超级计算、虚拟现实、增强现实、云计算等网络化、数字化、智能化技术手段，提高实验教学项目的吸引力和教学有效度。加强相关技术可靠性研究，注重对学生使用虚拟仿真实验教学项目的全方位、多层次防护，切实保障学生健康。</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（五）稳定安全的开放运行模式</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充分考虑不同区域、不同层次、不同类型学生接入实验教学项目的运行需求，搭建具有开放性、扩展性、兼容性和前瞻性的虚拟仿真实验教学项目运行平台。注重对相关实验教学项目自有或共有知识产权的保护，注重对学生个人信息等的保护，严格遵守我国教育、知识产权、互联网等相关法律法规，按照“谁开发、谁负责，谁使用、谁负责”的原则确定基本安全责任。积极探索在线虚拟仿真实验教学项目可持续运行的有效模式。</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（六）敬业专业的实验教学队伍</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重视实验教学队伍建设，围绕虚拟仿真实验教学项目建设运行，建设师德高尚、热爱教学、知识丰富、能力过硬、结构合理的虚拟仿真实验教学团队。健全完善实验教学队伍考核、奖励、监督机制，鼓励和支持教师参与虚拟仿真实验教学项目研发和教学实践。</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（七）持续改进的实验评价体系</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将虚拟仿真实验教学项目纳入相关专业培养方案和教学课程，制订相关教学效果评价办法。根据学生和教师反馈，持续改进相关教学评价机制。鼓励高校探索有利于虚拟仿真实验教学项目开放共享的教学绩效激励机制，建立高校间相关实验教学项目成绩互认、学分转换机制。</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（八）显著示范的实验教学效果</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虚拟仿真实验教学效果显著，受益面大，学生实验兴趣浓厚，自主学习能力明显增强，实践创新能力明显提高。通过开展在线教学服务或技术支持等，积极发挥对专业类内实验教学信息化建设的示范引领作用。</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三、建设规划和建设方式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（一）建设规划</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根据本科学科门类中专业类的当前布局和发展情况，结合高校专业类实验室建设情况和专业类实验教学信息化发展需求等因素，统筹规划到2020年认定1000项左右示范性虚拟仿真实验教学项目（具体规划见附件）。</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（二）建设方式</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采取先建设应用、后评价认定、持续监测评估的方式，按建设规划分年度认定示范性虚拟仿真实验教学项目。虚拟仿真实验教学项目建设将综合考察实验教学理念、实验教学内容、实验教学方式与方法、实验技术与运行、实验教学团队建设与服务、实验教学效果评价与评估等要素。优先支持向中西部高校、特别是西部地区高校优先定向在线开放的虚拟仿真实验教学项目。</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b/>
          <w:bCs/>
          <w:sz w:val="24"/>
          <w:szCs w:val="24"/>
        </w:rPr>
        <w:t xml:space="preserve">　　四、组织管理 </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一）教育部根据经济社会发展情况、高校实验教学改革发展情况和现代信息技术发展情况，统筹编制示范性虚拟仿真实验教学项目建设发展规划，按年度发布立项指南，协同国家有关部门依据网络与信息安全相关政策法规履行相应管理职能。教育部高等教育司负责具体年度建设工作的部署，组织“示范性虚拟仿真实验教学项目”认定；组织或委托相关机构或专家组织开展政策研究、理论研究、运行机制和关键技术研究等工作，实施示范性虚拟仿真实验教学项目的教学实践与效果、服务质量、持续更新等内容的跟踪监测和综合评价。</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二）省级教育行政部门根据区域高校布局和专业布局，结合区域经济社会发展情况，制定本区域虚拟仿真实验教学项目发展政策和规划，指导推动区域高校开展虚拟仿真实验教学项目建设和应用，给予相应政策支持，加强对相关实验教学项目的监管。负责遴选汇总所在地普通本科高校的申请，统一向教育部报送。</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三）普通本科高校是虚拟仿真实验教学项目建设和应用的主体。各高校应将建设和使用虚拟仿真实验教学项目作为推进完善现有实践教学体系、提高实验教学质量的重要举措。加大对实验教学队伍的培养培训，着力提升信息技术与实验教学深度融合的意识、使用信息技术改造传统实验教学项目的能力和水平。根据实验教学计划和实际情况，在坚持“能实不虚”的基础上加大虚拟仿真实验教学项目建设力度，探索线上线下教学相结合的新型实验教学模式。加强对虚拟仿真实验教学项目应用管理，建立健全适应网络化学习的实验教学成绩考核评价指标体系，促进实验教学质量稳步提高。</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t xml:space="preserve">　　请各省级教育行政部门和普通本科高校要高度重视此项工作，根据本通知要求和本地区、本学校的实际情况，科学规划，加强领导，精心组织，做好示范性虚拟仿真实验教学项目建设有关工作。</w:t>
      </w:r>
    </w:p>
    <w:p w:rsidR="00673717" w:rsidRPr="00673717" w:rsidRDefault="00673717" w:rsidP="00673717">
      <w:pPr>
        <w:shd w:val="clear" w:color="auto" w:fill="FFFFFF"/>
        <w:adjustRightInd/>
        <w:snapToGrid/>
        <w:spacing w:before="100" w:beforeAutospacing="1" w:after="100" w:afterAutospacing="1" w:line="540" w:lineRule="exact"/>
        <w:rPr>
          <w:rFonts w:ascii="微软雅黑" w:hAnsi="微软雅黑" w:cs="宋体"/>
          <w:sz w:val="24"/>
          <w:szCs w:val="24"/>
        </w:rPr>
      </w:pPr>
      <w:r w:rsidRPr="00673717">
        <w:rPr>
          <w:rFonts w:ascii="微软雅黑" w:hAnsi="微软雅黑" w:cs="宋体" w:hint="eastAsia"/>
          <w:sz w:val="24"/>
          <w:szCs w:val="24"/>
        </w:rPr>
        <w:lastRenderedPageBreak/>
        <w:t xml:space="preserve">　　附件：</w:t>
      </w:r>
      <w:hyperlink r:id="rId6" w:tgtFrame="_blank" w:history="1">
        <w:r w:rsidRPr="00673717">
          <w:rPr>
            <w:rFonts w:ascii="微软雅黑" w:hAnsi="微软雅黑" w:cs="宋体" w:hint="eastAsia"/>
            <w:sz w:val="24"/>
            <w:szCs w:val="24"/>
          </w:rPr>
          <w:t>2017—2020年示范性虚拟仿真实验教学项目建设规划</w:t>
        </w:r>
      </w:hyperlink>
    </w:p>
    <w:p w:rsidR="00673717" w:rsidRPr="00673717" w:rsidRDefault="00673717" w:rsidP="00C353F0">
      <w:pPr>
        <w:shd w:val="clear" w:color="auto" w:fill="FFFFFF"/>
        <w:adjustRightInd/>
        <w:snapToGrid/>
        <w:spacing w:before="100" w:beforeAutospacing="1" w:after="100" w:afterAutospacing="1" w:line="540" w:lineRule="exact"/>
        <w:ind w:right="240"/>
        <w:jc w:val="right"/>
        <w:rPr>
          <w:rFonts w:ascii="微软雅黑" w:hAnsi="微软雅黑" w:cs="宋体"/>
          <w:sz w:val="24"/>
          <w:szCs w:val="24"/>
        </w:rPr>
      </w:pPr>
      <w:r w:rsidRPr="00673717">
        <w:rPr>
          <w:rFonts w:ascii="微软雅黑" w:hAnsi="微软雅黑" w:cs="宋体" w:hint="eastAsia"/>
          <w:sz w:val="24"/>
          <w:szCs w:val="24"/>
        </w:rPr>
        <w:t>教育部办公厅</w:t>
      </w:r>
    </w:p>
    <w:p w:rsidR="00673717" w:rsidRPr="00673717" w:rsidRDefault="00673717" w:rsidP="00673717">
      <w:pPr>
        <w:shd w:val="clear" w:color="auto" w:fill="FFFFFF"/>
        <w:adjustRightInd/>
        <w:snapToGrid/>
        <w:spacing w:before="100" w:beforeAutospacing="1" w:after="100" w:afterAutospacing="1" w:line="540" w:lineRule="exact"/>
        <w:jc w:val="right"/>
        <w:rPr>
          <w:rFonts w:ascii="微软雅黑" w:hAnsi="微软雅黑" w:cs="宋体"/>
          <w:sz w:val="24"/>
          <w:szCs w:val="24"/>
        </w:rPr>
      </w:pPr>
      <w:r w:rsidRPr="00673717">
        <w:rPr>
          <w:rFonts w:ascii="微软雅黑" w:hAnsi="微软雅黑" w:cs="宋体" w:hint="eastAsia"/>
          <w:sz w:val="24"/>
          <w:szCs w:val="24"/>
        </w:rPr>
        <w:t>2017年7月11日</w:t>
      </w:r>
    </w:p>
    <w:p w:rsidR="004358AB" w:rsidRDefault="004358AB"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673717">
      <w:pPr>
        <w:spacing w:line="540" w:lineRule="exact"/>
      </w:pPr>
    </w:p>
    <w:p w:rsidR="00C353F0" w:rsidRDefault="00C353F0" w:rsidP="00C353F0">
      <w:pPr>
        <w:spacing w:line="560" w:lineRule="exact"/>
        <w:rPr>
          <w:rFonts w:ascii="仿宋" w:eastAsia="仿宋" w:hAnsi="仿宋" w:hint="eastAsia"/>
          <w:sz w:val="32"/>
          <w:szCs w:val="32"/>
        </w:rPr>
      </w:pPr>
      <w:r>
        <w:rPr>
          <w:rFonts w:ascii="仿宋" w:eastAsia="仿宋" w:hAnsi="仿宋" w:hint="eastAsia"/>
          <w:sz w:val="32"/>
          <w:szCs w:val="32"/>
        </w:rPr>
        <w:lastRenderedPageBreak/>
        <w:t>附件</w:t>
      </w:r>
    </w:p>
    <w:p w:rsidR="000065D3" w:rsidRDefault="000065D3" w:rsidP="00C353F0">
      <w:pPr>
        <w:spacing w:line="560" w:lineRule="exact"/>
        <w:rPr>
          <w:rFonts w:ascii="仿宋" w:eastAsia="仿宋" w:hAnsi="仿宋"/>
          <w:sz w:val="32"/>
          <w:szCs w:val="32"/>
        </w:rPr>
      </w:pPr>
    </w:p>
    <w:p w:rsidR="00C353F0" w:rsidRPr="00C353F0" w:rsidRDefault="00C353F0" w:rsidP="00C353F0">
      <w:pPr>
        <w:spacing w:line="560" w:lineRule="exact"/>
        <w:jc w:val="center"/>
        <w:rPr>
          <w:rFonts w:ascii="仿宋" w:eastAsia="仿宋" w:hAnsi="仿宋"/>
          <w:b/>
          <w:sz w:val="32"/>
          <w:szCs w:val="32"/>
        </w:rPr>
      </w:pPr>
      <w:r w:rsidRPr="00C353F0">
        <w:rPr>
          <w:rFonts w:ascii="仿宋" w:eastAsia="仿宋" w:hAnsi="仿宋" w:hint="eastAsia"/>
          <w:b/>
          <w:sz w:val="32"/>
          <w:szCs w:val="32"/>
        </w:rPr>
        <w:t>2017—2020年示范性虚拟仿真实验教学项目建设规划</w:t>
      </w:r>
    </w:p>
    <w:p w:rsidR="00C353F0" w:rsidRDefault="00C353F0" w:rsidP="00C353F0">
      <w:pPr>
        <w:spacing w:line="560" w:lineRule="exact"/>
        <w:rPr>
          <w:rFonts w:ascii="仿宋" w:eastAsia="仿宋" w:hAnsi="仿宋"/>
          <w:sz w:val="32"/>
          <w:szCs w:val="32"/>
        </w:rPr>
      </w:pPr>
    </w:p>
    <w:tbl>
      <w:tblPr>
        <w:tblW w:w="8224" w:type="dxa"/>
        <w:jc w:val="center"/>
        <w:tblInd w:w="93" w:type="dxa"/>
        <w:tblLook w:val="04A0"/>
      </w:tblPr>
      <w:tblGrid>
        <w:gridCol w:w="582"/>
        <w:gridCol w:w="2638"/>
        <w:gridCol w:w="992"/>
        <w:gridCol w:w="992"/>
        <w:gridCol w:w="907"/>
        <w:gridCol w:w="992"/>
        <w:gridCol w:w="1121"/>
      </w:tblGrid>
      <w:tr w:rsidR="00C353F0" w:rsidRPr="003915C0" w:rsidTr="00C353F0">
        <w:trPr>
          <w:trHeight w:val="270"/>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序号</w:t>
            </w:r>
          </w:p>
        </w:tc>
        <w:tc>
          <w:tcPr>
            <w:tcW w:w="26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示范性虚拟仿真实验教学项目分类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规划数量</w:t>
            </w:r>
          </w:p>
        </w:tc>
        <w:tc>
          <w:tcPr>
            <w:tcW w:w="4012" w:type="dxa"/>
            <w:gridSpan w:val="4"/>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分年度建设规划</w:t>
            </w:r>
          </w:p>
        </w:tc>
      </w:tr>
      <w:tr w:rsidR="00C353F0" w:rsidRPr="003915C0" w:rsidTr="00C353F0">
        <w:trPr>
          <w:trHeight w:val="27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353F0" w:rsidRPr="003915C0" w:rsidRDefault="00C353F0" w:rsidP="00E819E1">
            <w:pPr>
              <w:rPr>
                <w:rFonts w:ascii="仿宋" w:eastAsia="仿宋" w:hAnsi="仿宋" w:cs="宋体"/>
                <w:b/>
                <w:color w:val="000000"/>
                <w:sz w:val="24"/>
                <w:szCs w:val="24"/>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rsidR="00C353F0" w:rsidRPr="003915C0" w:rsidRDefault="00C353F0" w:rsidP="00E819E1">
            <w:pPr>
              <w:rPr>
                <w:rFonts w:ascii="仿宋" w:eastAsia="仿宋" w:hAnsi="仿宋" w:cs="宋体"/>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353F0" w:rsidRPr="003915C0" w:rsidRDefault="00C353F0" w:rsidP="00E819E1">
            <w:pPr>
              <w:rPr>
                <w:rFonts w:ascii="仿宋" w:eastAsia="仿宋" w:hAnsi="仿宋" w:cs="宋体"/>
                <w:b/>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2017年</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b/>
                <w:color w:val="000000"/>
                <w:sz w:val="24"/>
                <w:szCs w:val="24"/>
              </w:rPr>
            </w:pPr>
            <w:r w:rsidRPr="003915C0">
              <w:rPr>
                <w:rFonts w:ascii="仿宋" w:eastAsia="仿宋" w:hAnsi="仿宋" w:cs="宋体" w:hint="eastAsia"/>
                <w:b/>
                <w:color w:val="000000"/>
                <w:sz w:val="24"/>
                <w:szCs w:val="24"/>
              </w:rPr>
              <w:t>2020年</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物理学类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化学类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天文学类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地理科学类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大气科学类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海洋科学类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地球物理学类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地质学类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生物科学类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心理学类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力学类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机械类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仪器类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材料类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能源动力类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电气类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电子信息类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rPr>
                <w:rFonts w:ascii="宋体" w:eastAsia="宋体" w:hAnsi="宋体" w:cs="宋体"/>
                <w:color w:val="000000"/>
              </w:rPr>
            </w:pP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自动化类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lastRenderedPageBreak/>
              <w:t>19</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计算机类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土木类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水利类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测绘类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化工与制药类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地质类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矿业类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纺织类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轻工类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交通运输类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海洋工程类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航空航天类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兵器类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核工程类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33</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农业工程类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34</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林业工程类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35</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环境科学与工程类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生物医学工程类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食品科学与工程类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建筑类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rPr>
                <w:rFonts w:ascii="宋体" w:eastAsia="宋体" w:hAnsi="宋体" w:cs="宋体"/>
                <w:color w:val="000000"/>
              </w:rPr>
            </w:pP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安全科学与工程类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生物工程类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公安技术类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42</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植物类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43</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动物类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44</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自然保护与环境生态类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lastRenderedPageBreak/>
              <w:t>45</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医学基础类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46</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临床</w:t>
            </w:r>
            <w:r>
              <w:rPr>
                <w:rFonts w:ascii="仿宋" w:eastAsia="仿宋" w:hAnsi="仿宋" w:cs="宋体" w:hint="eastAsia"/>
                <w:color w:val="000000"/>
                <w:sz w:val="24"/>
                <w:szCs w:val="24"/>
              </w:rPr>
              <w:t>医学</w:t>
            </w:r>
            <w:r w:rsidRPr="003915C0">
              <w:rPr>
                <w:rFonts w:ascii="仿宋" w:eastAsia="仿宋" w:hAnsi="仿宋" w:cs="宋体" w:hint="eastAsia"/>
                <w:color w:val="000000"/>
                <w:sz w:val="24"/>
                <w:szCs w:val="24"/>
              </w:rPr>
              <w:t>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47</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公共卫生与预防医学类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48</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中医类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49</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药学类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法医学类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51</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医学技术类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52</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护理学类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53</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经济管理类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80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40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40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54</w:t>
            </w:r>
          </w:p>
        </w:tc>
        <w:tc>
          <w:tcPr>
            <w:tcW w:w="2638"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法学类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55</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教育学类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56</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体育学类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57</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文学类（含新闻传播学）</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40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20</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58</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历史学类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59</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艺术学类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50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w:t>
            </w:r>
          </w:p>
        </w:tc>
      </w:tr>
      <w:tr w:rsidR="00C353F0" w:rsidRPr="003915C0" w:rsidTr="00C353F0">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60</w:t>
            </w:r>
          </w:p>
        </w:tc>
        <w:tc>
          <w:tcPr>
            <w:tcW w:w="2638" w:type="dxa"/>
            <w:tcBorders>
              <w:top w:val="nil"/>
              <w:left w:val="nil"/>
              <w:bottom w:val="single" w:sz="4" w:space="0" w:color="auto"/>
              <w:right w:val="single" w:sz="4" w:space="0" w:color="auto"/>
            </w:tcBorders>
            <w:shd w:val="clear" w:color="auto" w:fill="auto"/>
            <w:vAlign w:val="center"/>
            <w:hideMark/>
          </w:tcPr>
          <w:p w:rsidR="00C353F0" w:rsidRPr="003915C0" w:rsidRDefault="00C353F0" w:rsidP="00E819E1">
            <w:pPr>
              <w:rPr>
                <w:rFonts w:ascii="仿宋" w:eastAsia="仿宋" w:hAnsi="仿宋" w:cs="宋体"/>
                <w:color w:val="000000"/>
                <w:sz w:val="24"/>
                <w:szCs w:val="24"/>
              </w:rPr>
            </w:pPr>
            <w:r w:rsidRPr="003915C0">
              <w:rPr>
                <w:rFonts w:ascii="仿宋" w:eastAsia="仿宋" w:hAnsi="仿宋" w:cs="宋体" w:hint="eastAsia"/>
                <w:color w:val="000000"/>
                <w:sz w:val="24"/>
                <w:szCs w:val="24"/>
              </w:rPr>
              <w:t>其它类</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15</w:t>
            </w:r>
          </w:p>
        </w:tc>
      </w:tr>
      <w:tr w:rsidR="00C353F0" w:rsidRPr="003915C0" w:rsidTr="00C353F0">
        <w:trPr>
          <w:trHeight w:val="270"/>
          <w:jc w:val="center"/>
        </w:trPr>
        <w:tc>
          <w:tcPr>
            <w:tcW w:w="32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合计</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1000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Pr="003915C0" w:rsidRDefault="00C353F0" w:rsidP="00E819E1">
            <w:pPr>
              <w:jc w:val="center"/>
              <w:rPr>
                <w:rFonts w:ascii="仿宋" w:eastAsia="仿宋" w:hAnsi="仿宋" w:cs="宋体"/>
                <w:color w:val="000000"/>
                <w:sz w:val="24"/>
                <w:szCs w:val="24"/>
              </w:rPr>
            </w:pPr>
            <w:r w:rsidRPr="003915C0">
              <w:rPr>
                <w:rFonts w:ascii="仿宋" w:eastAsia="仿宋" w:hAnsi="仿宋" w:cs="宋体" w:hint="eastAsia"/>
                <w:color w:val="000000"/>
                <w:sz w:val="24"/>
                <w:szCs w:val="24"/>
              </w:rPr>
              <w:t>100</w:t>
            </w:r>
          </w:p>
        </w:tc>
        <w:tc>
          <w:tcPr>
            <w:tcW w:w="907"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250</w:t>
            </w:r>
          </w:p>
        </w:tc>
        <w:tc>
          <w:tcPr>
            <w:tcW w:w="992"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300</w:t>
            </w:r>
          </w:p>
        </w:tc>
        <w:tc>
          <w:tcPr>
            <w:tcW w:w="1121" w:type="dxa"/>
            <w:tcBorders>
              <w:top w:val="nil"/>
              <w:left w:val="nil"/>
              <w:bottom w:val="single" w:sz="4" w:space="0" w:color="auto"/>
              <w:right w:val="single" w:sz="4" w:space="0" w:color="auto"/>
            </w:tcBorders>
            <w:shd w:val="clear" w:color="auto" w:fill="auto"/>
            <w:noWrap/>
            <w:vAlign w:val="center"/>
            <w:hideMark/>
          </w:tcPr>
          <w:p w:rsidR="00C353F0" w:rsidRDefault="00C353F0" w:rsidP="00E819E1">
            <w:pPr>
              <w:jc w:val="center"/>
              <w:rPr>
                <w:rFonts w:ascii="宋体" w:eastAsia="宋体" w:hAnsi="宋体" w:cs="宋体"/>
                <w:color w:val="000000"/>
              </w:rPr>
            </w:pPr>
            <w:r>
              <w:rPr>
                <w:rFonts w:hint="eastAsia"/>
                <w:color w:val="000000"/>
              </w:rPr>
              <w:t>350</w:t>
            </w:r>
          </w:p>
        </w:tc>
      </w:tr>
    </w:tbl>
    <w:p w:rsidR="00C353F0" w:rsidRPr="00365A0D" w:rsidRDefault="00C353F0" w:rsidP="00C353F0">
      <w:pPr>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p w:rsidR="00C353F0" w:rsidRPr="00673717" w:rsidRDefault="00C353F0" w:rsidP="00673717">
      <w:pPr>
        <w:spacing w:line="540" w:lineRule="exact"/>
      </w:pPr>
    </w:p>
    <w:sectPr w:rsidR="00C353F0" w:rsidRPr="00673717"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EE0" w:rsidRDefault="00BC6EE0" w:rsidP="00673717">
      <w:pPr>
        <w:spacing w:after="0"/>
      </w:pPr>
      <w:r>
        <w:separator/>
      </w:r>
    </w:p>
  </w:endnote>
  <w:endnote w:type="continuationSeparator" w:id="1">
    <w:p w:rsidR="00BC6EE0" w:rsidRDefault="00BC6EE0" w:rsidP="006737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39538"/>
      <w:docPartObj>
        <w:docPartGallery w:val="Page Numbers (Bottom of Page)"/>
        <w:docPartUnique/>
      </w:docPartObj>
    </w:sdtPr>
    <w:sdtContent>
      <w:p w:rsidR="00673717" w:rsidRDefault="00CC6678">
        <w:pPr>
          <w:pStyle w:val="a4"/>
          <w:jc w:val="center"/>
        </w:pPr>
        <w:fldSimple w:instr=" PAGE   \* MERGEFORMAT ">
          <w:r w:rsidR="000065D3" w:rsidRPr="000065D3">
            <w:rPr>
              <w:noProof/>
              <w:lang w:val="zh-CN"/>
            </w:rPr>
            <w:t>2</w:t>
          </w:r>
        </w:fldSimple>
      </w:p>
    </w:sdtContent>
  </w:sdt>
  <w:p w:rsidR="00673717" w:rsidRDefault="006737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EE0" w:rsidRDefault="00BC6EE0" w:rsidP="00673717">
      <w:pPr>
        <w:spacing w:after="0"/>
      </w:pPr>
      <w:r>
        <w:separator/>
      </w:r>
    </w:p>
  </w:footnote>
  <w:footnote w:type="continuationSeparator" w:id="1">
    <w:p w:rsidR="00BC6EE0" w:rsidRDefault="00BC6EE0" w:rsidP="0067371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D31D50"/>
    <w:rsid w:val="000065D3"/>
    <w:rsid w:val="00323B43"/>
    <w:rsid w:val="003272AB"/>
    <w:rsid w:val="003D37D8"/>
    <w:rsid w:val="00426133"/>
    <w:rsid w:val="004358AB"/>
    <w:rsid w:val="005B36D1"/>
    <w:rsid w:val="005D1376"/>
    <w:rsid w:val="00673717"/>
    <w:rsid w:val="007E4CCD"/>
    <w:rsid w:val="008B7726"/>
    <w:rsid w:val="00B37AD6"/>
    <w:rsid w:val="00B509E4"/>
    <w:rsid w:val="00BC6EE0"/>
    <w:rsid w:val="00C353F0"/>
    <w:rsid w:val="00CC6678"/>
    <w:rsid w:val="00D31D50"/>
    <w:rsid w:val="00EC7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371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73717"/>
    <w:rPr>
      <w:rFonts w:ascii="Tahoma" w:hAnsi="Tahoma"/>
      <w:sz w:val="18"/>
      <w:szCs w:val="18"/>
    </w:rPr>
  </w:style>
  <w:style w:type="paragraph" w:styleId="a4">
    <w:name w:val="footer"/>
    <w:basedOn w:val="a"/>
    <w:link w:val="Char0"/>
    <w:uiPriority w:val="99"/>
    <w:unhideWhenUsed/>
    <w:rsid w:val="00673717"/>
    <w:pPr>
      <w:tabs>
        <w:tab w:val="center" w:pos="4153"/>
        <w:tab w:val="right" w:pos="8306"/>
      </w:tabs>
    </w:pPr>
    <w:rPr>
      <w:sz w:val="18"/>
      <w:szCs w:val="18"/>
    </w:rPr>
  </w:style>
  <w:style w:type="character" w:customStyle="1" w:styleId="Char0">
    <w:name w:val="页脚 Char"/>
    <w:basedOn w:val="a0"/>
    <w:link w:val="a4"/>
    <w:uiPriority w:val="99"/>
    <w:rsid w:val="00673717"/>
    <w:rPr>
      <w:rFonts w:ascii="Tahoma" w:hAnsi="Tahoma"/>
      <w:sz w:val="18"/>
      <w:szCs w:val="18"/>
    </w:rPr>
  </w:style>
  <w:style w:type="character" w:styleId="a5">
    <w:name w:val="Strong"/>
    <w:basedOn w:val="a0"/>
    <w:uiPriority w:val="22"/>
    <w:qFormat/>
    <w:rsid w:val="00673717"/>
    <w:rPr>
      <w:b/>
      <w:bCs/>
    </w:rPr>
  </w:style>
</w:styles>
</file>

<file path=word/webSettings.xml><?xml version="1.0" encoding="utf-8"?>
<w:webSettings xmlns:r="http://schemas.openxmlformats.org/officeDocument/2006/relationships" xmlns:w="http://schemas.openxmlformats.org/wordprocessingml/2006/main">
  <w:divs>
    <w:div w:id="783696488">
      <w:bodyDiv w:val="1"/>
      <w:marLeft w:val="0"/>
      <w:marRight w:val="0"/>
      <w:marTop w:val="0"/>
      <w:marBottom w:val="0"/>
      <w:divBdr>
        <w:top w:val="none" w:sz="0" w:space="0" w:color="auto"/>
        <w:left w:val="none" w:sz="0" w:space="0" w:color="auto"/>
        <w:bottom w:val="none" w:sz="0" w:space="0" w:color="auto"/>
        <w:right w:val="none" w:sz="0" w:space="0" w:color="auto"/>
      </w:divBdr>
      <w:divsChild>
        <w:div w:id="462844580">
          <w:marLeft w:val="0"/>
          <w:marRight w:val="0"/>
          <w:marTop w:val="0"/>
          <w:marBottom w:val="0"/>
          <w:divBdr>
            <w:top w:val="none" w:sz="0" w:space="0" w:color="auto"/>
            <w:left w:val="none" w:sz="0" w:space="0" w:color="auto"/>
            <w:bottom w:val="none" w:sz="0" w:space="0" w:color="auto"/>
            <w:right w:val="none" w:sz="0" w:space="0" w:color="auto"/>
          </w:divBdr>
          <w:divsChild>
            <w:div w:id="513542519">
              <w:marLeft w:val="0"/>
              <w:marRight w:val="0"/>
              <w:marTop w:val="0"/>
              <w:marBottom w:val="0"/>
              <w:divBdr>
                <w:top w:val="single" w:sz="6" w:space="31" w:color="BCBCBC"/>
                <w:left w:val="single" w:sz="6" w:space="31" w:color="BCBCBC"/>
                <w:bottom w:val="single" w:sz="6" w:space="15" w:color="BCBCBC"/>
                <w:right w:val="single" w:sz="6" w:space="31" w:color="BCBCBC"/>
              </w:divBdr>
              <w:divsChild>
                <w:div w:id="1005397833">
                  <w:marLeft w:val="0"/>
                  <w:marRight w:val="0"/>
                  <w:marTop w:val="0"/>
                  <w:marBottom w:val="0"/>
                  <w:divBdr>
                    <w:top w:val="none" w:sz="0" w:space="0" w:color="auto"/>
                    <w:left w:val="none" w:sz="0" w:space="0" w:color="auto"/>
                    <w:bottom w:val="none" w:sz="0" w:space="0" w:color="auto"/>
                    <w:right w:val="none" w:sz="0" w:space="0" w:color="auto"/>
                  </w:divBdr>
                  <w:divsChild>
                    <w:div w:id="2091922138">
                      <w:marLeft w:val="0"/>
                      <w:marRight w:val="0"/>
                      <w:marTop w:val="0"/>
                      <w:marBottom w:val="0"/>
                      <w:divBdr>
                        <w:top w:val="none" w:sz="0" w:space="0" w:color="auto"/>
                        <w:left w:val="none" w:sz="0" w:space="0" w:color="auto"/>
                        <w:bottom w:val="none" w:sz="0" w:space="0" w:color="auto"/>
                        <w:right w:val="none" w:sz="0" w:space="0" w:color="auto"/>
                      </w:divBdr>
                    </w:div>
                    <w:div w:id="18264378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moe.gov.cn/srcsite/A08/s7945/s7946/201707/W020170721333016023170.docx"/>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lastModifiedBy>hp</lastModifiedBy>
  <lastPrinted>2008-09-11T17:20:00Z</lastPrinted>
  <dcterms:modified xsi:type="dcterms:W3CDTF">2017-09-20T01:29:00Z</dcterms:modified>
  <revision>7</revision>
</coreProperties>
</file>